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7" w:name="_GoBack"/>
      <w:bookmarkEnd w:id="7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中医专业技术人才晋升高级职称工作量要求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钟剑  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门诊中医科</w:t>
      </w:r>
      <w:bookmarkEnd w:id="2"/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中医内科</w:t>
      </w:r>
      <w:bookmarkEnd w:id="4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id="5" w:name="PreventionAndControlOfHospitalInfection"/>
      <w:r>
        <w:rPr>
          <w:rFonts w:hint="eastAsia" w:eastAsia="仿宋_GB2312"/>
          <w:bCs/>
          <w:sz w:val="30"/>
          <w:szCs w:val="30"/>
        </w:rPr>
        <w:t>否</w:t>
      </w:r>
      <w:bookmarkEnd w:id="5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6" w:name="PersonProperties"/>
      <w:r>
        <w:rPr>
          <w:rFonts w:hint="eastAsia" w:ascii="宋体" w:hAnsi="宋体"/>
          <w:bCs/>
          <w:sz w:val="24"/>
        </w:rPr>
        <w:t>专职门诊医师</w:t>
      </w:r>
      <w:bookmarkEnd w:id="6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8"/>
        <w:gridCol w:w="1237"/>
        <w:gridCol w:w="630"/>
        <w:gridCol w:w="435"/>
        <w:gridCol w:w="750"/>
        <w:gridCol w:w="706"/>
        <w:gridCol w:w="4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专职门诊医师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中医内科、中医外科、中医妇科、中医儿科、中医骨伤科、中医皮肤科、中医肛肠科、中医五官科、针灸、按摩推拿、中医康复、中医治未病、全科医学（中医类别）、中西医结合医学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非手术为主科室的病房医师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中医内科、中医外科、中医妇科、中医骨伤科、中医皮肤科、中医肛肠科、中医五官科、中西医结合医学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出院患者手术/操作人次数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105" w:afterAutospacing="0" w:line="315" w:lineRule="atLeast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备注：《工作量表》须与《工作量实绩表》的相关数据保持一致。 </w:t>
      </w:r>
    </w:p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2B20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</Words>
  <Characters>94</Characters>
  <Lines>1</Lines>
  <Paragraphs>1</Paragraphs>
  <TotalTime>106</TotalTime>
  <ScaleCrop>false</ScaleCrop>
  <LinksUpToDate>false</LinksUpToDate>
  <CharactersWithSpaces>109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2026-03-18T09:14:42Z</dcterms:modified>
  <dc:title>专业技术工作实例表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210B7B72C2364A979355D36A9956AEF7</vt:lpwstr>
  </property>
</Properties>
</file>